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0D" w:rsidRPr="00BF360D" w:rsidRDefault="00BF360D" w:rsidP="00936A49">
      <w:pPr>
        <w:bidi/>
        <w:spacing w:after="120" w:line="240" w:lineRule="auto"/>
        <w:jc w:val="center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لقاء رفيع المستوى حول: "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الشبكة الدولية للآليات الوطنية للتنفيذ وإعداد التقارير والتتبع: تعزيز التعاون، تشجيع العضوية، و</w:t>
      </w:r>
      <w:r w:rsidR="00685D25" w:rsidRPr="00685D25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تقديم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الإطار التوجيهي لمراكش</w:t>
      </w: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</w:p>
    <w:p w:rsidR="00BF360D" w:rsidRDefault="00BF360D" w:rsidP="00721AF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على هامش الدورة 58 لمجلس حقوق الإنسان</w:t>
      </w:r>
    </w:p>
    <w:p w:rsidR="00BF360D" w:rsidRPr="00BF360D" w:rsidRDefault="00BF360D" w:rsidP="00936A49">
      <w:pPr>
        <w:bidi/>
        <w:spacing w:after="12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25 </w:t>
      </w: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فبراير 2025، من الساعة 14:00 إلى </w:t>
      </w:r>
      <w:r w:rsidR="00936A4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15:00،</w:t>
      </w: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القاعة</w:t>
      </w:r>
      <w:r w:rsidR="00685D2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XXIV</w:t>
      </w: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، قصر الأمم</w:t>
      </w:r>
    </w:p>
    <w:p w:rsidR="00BF360D" w:rsidRPr="00BF360D" w:rsidRDefault="00BF360D" w:rsidP="00936A49">
      <w:pPr>
        <w:bidi/>
        <w:spacing w:after="0" w:line="240" w:lineRule="auto"/>
        <w:jc w:val="center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المذكرة المفاهيمية</w:t>
      </w:r>
    </w:p>
    <w:p w:rsidR="00BF360D" w:rsidRPr="00685D25" w:rsidRDefault="00BF360D" w:rsidP="00936A49">
      <w:pPr>
        <w:pStyle w:val="Paragraphedeliste"/>
        <w:numPr>
          <w:ilvl w:val="0"/>
          <w:numId w:val="2"/>
        </w:numPr>
        <w:bidi/>
        <w:spacing w:after="120" w:line="240" w:lineRule="auto"/>
        <w:contextualSpacing w:val="0"/>
        <w:jc w:val="both"/>
        <w:outlineLvl w:val="3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685D2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85D2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السياق</w:t>
      </w:r>
    </w:p>
    <w:p w:rsidR="00685D25" w:rsidRPr="00685D25" w:rsidRDefault="00685D25" w:rsidP="0093750B">
      <w:pPr>
        <w:bidi/>
        <w:spacing w:after="12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تُعد الآليات الوطنية للتنفيذ وإعداد التقارير والتتبع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(</w:t>
      </w:r>
      <w:r w:rsidR="0093750B">
        <w:rPr>
          <w:rFonts w:ascii="Sakkal Majalla" w:eastAsia="Times New Roman" w:hAnsi="Sakkal Majalla" w:cs="Sakkal Majalla"/>
          <w:sz w:val="32"/>
          <w:szCs w:val="32"/>
          <w:lang w:eastAsia="fr-FR"/>
        </w:rPr>
        <w:t>NMIRFs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)</w:t>
      </w:r>
      <w:r w:rsidR="0093750B">
        <w:rPr>
          <w:rStyle w:val="Appelnotedebasdep"/>
          <w:rFonts w:ascii="Sakkal Majalla" w:eastAsia="Times New Roman" w:hAnsi="Sakkal Majalla" w:cs="Sakkal Majalla"/>
          <w:sz w:val="32"/>
          <w:szCs w:val="32"/>
          <w:lang w:eastAsia="fr-FR"/>
        </w:rPr>
        <w:footnoteReference w:id="1"/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 xml:space="preserve">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آليات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أساسية لضمان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فعالية إعداد التقارير 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و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تتبع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تنفيذ الالتزامات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والتوصيات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الدولية لحقوق الإنسان على المستوى الوطني. كما تُشكل إطاراً مؤسس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اتي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اً حكومياً ي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ُ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سهل التفاعل بين الدول والآليات الدولية لحقوق الإنسان، 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و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ضمان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تتبع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منهجي لتوصيات هيئات المعاهدات، والاستعراض الدوري الشامل، والإجراءات الخاصة</w:t>
      </w:r>
      <w:r w:rsidR="009C352F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685D25" w:rsidRPr="00685D25" w:rsidRDefault="00685D25" w:rsidP="0093750B">
      <w:pPr>
        <w:bidi/>
        <w:spacing w:after="12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ونظراً للدور الرئيسي 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ذي تلعبه هذه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الآليات، عزز المجتم</w:t>
      </w:r>
      <w:r w:rsidR="00936A4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ع الدولي جهوده الرامية إلى إ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حداث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ها وتعزيزها، من خلال مجموعة أصدقاء الآليات الوطنية للتنفيذ وإعداد التقارير وا</w:t>
      </w:r>
      <w:r w:rsidR="00936A49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لتتبع، بقيادة البرتغال،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إضافة إلى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الرفع من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عدد التوصيات الصادرة في هذا السياق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في إطار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الاستعراض الدوري الشامل. وقد انعكس هذا التوجه في العديد من قرارات مجلس حقوق الإنسان، كان آخرها القرار 51/33،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برعاية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كل من </w:t>
      </w:r>
      <w:r w:rsidR="00936A49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باراغواي والبرازيل، والذي يدعو إلى تبادل التجارب بين الدول وإلى إنشاء قطب معرفي </w:t>
      </w:r>
      <w:r w:rsidR="009C352F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رقمي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لدعم تبادل الخبرات والممارسات</w:t>
      </w:r>
      <w:r w:rsidR="009C352F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الفضلى.</w:t>
      </w:r>
    </w:p>
    <w:p w:rsidR="00685D25" w:rsidRPr="00685D25" w:rsidRDefault="00685D25" w:rsidP="00241A46">
      <w:pPr>
        <w:bidi/>
        <w:spacing w:after="12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وفي إطار هذه الجهود، واستنادًا إلى </w:t>
      </w:r>
      <w:r w:rsidRPr="009C352F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إعلان مراكش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 الذي اعتُمد في د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جنب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ر 2022 خلال الندوة الدولية الأولى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لآليات الوطنية للتنفيذ وإعداد التقارير والت</w:t>
      </w:r>
      <w:r w:rsidR="00241A46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تبع بالمملكة المغربية، تم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إحداث </w:t>
      </w:r>
      <w:r w:rsidRPr="00241A4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الشبكة الدولية للآليات الوطنية للتنفيذ وإعداد التقارير والتتبع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باعتماد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241A4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إعلان أسونسيون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ماي 2024 خلال الندوة الدولية الثانية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لآليات الوطنية، التي استضافتها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</w:t>
      </w:r>
      <w:r w:rsidR="00241A46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باراغواي.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تهدف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هذه الشبكة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، التي تضم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اليوم 24 عضوًا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،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إلى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تعزيز التعاون، وتبادل الممارسات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الفضلى</w:t>
      </w:r>
      <w:r w:rsidR="00241A46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 وتشجيع إ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حداث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آليات وطنية فعالة على المستوى العالمي</w:t>
      </w:r>
      <w:r w:rsidR="009C352F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685D25" w:rsidRPr="00685D25" w:rsidRDefault="00241A46" w:rsidP="00241A46">
      <w:pPr>
        <w:bidi/>
        <w:spacing w:after="12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وقد </w:t>
      </w:r>
      <w:r w:rsidR="00685D25"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شكَّل حوار جليون العاشر لحقوق الإنسان (أكتوبر 2024) محطةً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مهمة في إطار هذه الدينامية،</w:t>
      </w:r>
      <w:r w:rsidR="00685D25"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باعتماد الإطار التوجيهي لمراكش، وهو وثيقة مرجعية قائمة على الممارسات الدولية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الفضلى</w:t>
      </w:r>
      <w:r w:rsidR="00685D25"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لمساعدة الدول على إحداث وتعزيز آليات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ها</w:t>
      </w:r>
      <w:r w:rsidR="00685D25"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الوطنية للتنفيذ وإعداد التقارير والتتبع</w:t>
      </w:r>
      <w:r w:rsidR="009C352F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BF360D" w:rsidRPr="00BF360D" w:rsidRDefault="00685D25" w:rsidP="00657A17">
      <w:pPr>
        <w:bidi/>
        <w:spacing w:after="120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وفي هذا السياق، ت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نظم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المندوبية الوزارية المكلفة بحقوق الإنسان 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لمملكة المغربية، بصفتها منسق </w:t>
      </w:r>
      <w:r w:rsidR="00241A46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اللجنة التنفيذية للشبكة الدولية</w:t>
      </w:r>
      <w:r w:rsidR="00721AFF">
        <w:rPr>
          <w:rStyle w:val="Appelnotedebasdep"/>
          <w:rFonts w:ascii="Sakkal Majalla" w:eastAsia="Times New Roman" w:hAnsi="Sakkal Majalla" w:cs="Sakkal Majalla"/>
          <w:sz w:val="32"/>
          <w:szCs w:val="32"/>
          <w:rtl/>
          <w:lang w:eastAsia="fr-FR"/>
        </w:rPr>
        <w:footnoteReference w:id="2"/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 بشراكة مع البعثات الدائمة للمملكة المغربية، و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باراغواي، والبرتغال، و</w:t>
      </w:r>
      <w:r w:rsidR="0093750B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فوضية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السامي</w:t>
      </w:r>
      <w:r w:rsidR="00241A46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ة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لحقوق الإنسان، ومنظمة مجموعة الحقوق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lastRenderedPageBreak/>
        <w:t xml:space="preserve">العالمية، لقاء </w:t>
      </w:r>
      <w:r w:rsidR="00241A46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رفيع المستوى حول الشبكة الدولية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للآليات الوطنية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 التي تم</w:t>
      </w:r>
      <w:r w:rsidR="00657A1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إحداثها في أسونسيون، من أجل 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عرض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الإطار التوجيهي لمراكش و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تقديم </w:t>
      </w:r>
      <w:r w:rsidRPr="00685D2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الخطوات المقبلة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>.</w:t>
      </w:r>
    </w:p>
    <w:p w:rsidR="00BF360D" w:rsidRPr="00BF360D" w:rsidRDefault="00BF360D" w:rsidP="000543FB">
      <w:pPr>
        <w:pStyle w:val="Paragraphedeliste"/>
        <w:numPr>
          <w:ilvl w:val="0"/>
          <w:numId w:val="2"/>
        </w:numPr>
        <w:bidi/>
        <w:spacing w:after="120" w:line="240" w:lineRule="auto"/>
        <w:contextualSpacing w:val="0"/>
        <w:jc w:val="both"/>
        <w:outlineLvl w:val="3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F360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أهداف</w:t>
      </w:r>
      <w:r w:rsidR="000543F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اللقاء</w:t>
      </w:r>
    </w:p>
    <w:p w:rsidR="00936A49" w:rsidRPr="009C352F" w:rsidRDefault="00657A17" w:rsidP="00687120">
      <w:pPr>
        <w:pStyle w:val="Paragraphedeliste"/>
        <w:numPr>
          <w:ilvl w:val="0"/>
          <w:numId w:val="7"/>
        </w:numPr>
        <w:bidi/>
        <w:spacing w:after="60" w:line="240" w:lineRule="auto"/>
        <w:ind w:left="714" w:hanging="357"/>
        <w:contextualSpacing w:val="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تتبع إحداث</w:t>
      </w:r>
      <w:r w:rsidR="00936A49"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الشبكة الدولية للآليات الوطنية للتنفيذ وإعداد التقارير والتتبع،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المعتمد</w:t>
      </w:r>
      <w:r w:rsidR="00936A49"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أسونسيون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.</w:t>
      </w:r>
    </w:p>
    <w:p w:rsidR="00936A49" w:rsidRPr="009C352F" w:rsidRDefault="00657A17" w:rsidP="00687120">
      <w:pPr>
        <w:pStyle w:val="Paragraphedeliste"/>
        <w:numPr>
          <w:ilvl w:val="0"/>
          <w:numId w:val="7"/>
        </w:numPr>
        <w:bidi/>
        <w:spacing w:after="60" w:line="240" w:lineRule="auto"/>
        <w:ind w:left="714" w:hanging="357"/>
        <w:contextualSpacing w:val="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تتبع</w:t>
      </w:r>
      <w:r w:rsidR="00936A49"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مخرجات حوار جليون العاشر وعرض الإطار التوجيهي لمراكش كوثيقة مرجعية؛</w:t>
      </w:r>
    </w:p>
    <w:p w:rsidR="009C352F" w:rsidRPr="009C352F" w:rsidRDefault="00936A49" w:rsidP="00657A17">
      <w:pPr>
        <w:pStyle w:val="Paragraphedeliste"/>
        <w:numPr>
          <w:ilvl w:val="0"/>
          <w:numId w:val="7"/>
        </w:numPr>
        <w:bidi/>
        <w:spacing w:after="120" w:line="240" w:lineRule="auto"/>
        <w:contextualSpacing w:val="0"/>
        <w:jc w:val="both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9C352F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تقديم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الخطوات المقبلة، بما في ذلك الندوة الدولية الثالثة 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ل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لآليات الوطنية للتنفيذ وإعداد التقارير والتتبع 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التي ستحتضنها 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لشبونة هذ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ه السنة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، و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الحلقة الدراسية 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الثانية والقطب المعرفي ال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رقمي المنصوص عليهما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657A17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في </w:t>
      </w:r>
      <w:r w:rsidRPr="009C352F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قرار مجلس حقوق الإنسان 51/33</w:t>
      </w:r>
      <w:r w:rsidRPr="009C352F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  <w:bookmarkStart w:id="0" w:name="_GoBack"/>
      <w:bookmarkEnd w:id="0"/>
    </w:p>
    <w:sectPr w:rsidR="009C352F" w:rsidRPr="009C352F" w:rsidSect="00721AFF">
      <w:headerReference w:type="even" r:id="rId8"/>
      <w:headerReference w:type="default" r:id="rId9"/>
      <w:footerReference w:type="default" r:id="rId10"/>
      <w:pgSz w:w="11906" w:h="17338"/>
      <w:pgMar w:top="1417" w:right="1417" w:bottom="1417" w:left="1417" w:header="284" w:footer="5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B2" w:rsidRDefault="00005EB2" w:rsidP="00016B62">
      <w:pPr>
        <w:spacing w:after="0" w:line="240" w:lineRule="auto"/>
      </w:pPr>
      <w:r>
        <w:separator/>
      </w:r>
    </w:p>
  </w:endnote>
  <w:endnote w:type="continuationSeparator" w:id="0">
    <w:p w:rsidR="00005EB2" w:rsidRDefault="00005EB2" w:rsidP="0001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75830"/>
      <w:docPartObj>
        <w:docPartGallery w:val="Page Numbers (Bottom of Page)"/>
        <w:docPartUnique/>
      </w:docPartObj>
    </w:sdtPr>
    <w:sdtEndPr/>
    <w:sdtContent>
      <w:sdt>
        <w:sdtPr>
          <w:id w:val="-1781799853"/>
          <w:docPartObj>
            <w:docPartGallery w:val="Page Numbers (Top of Page)"/>
            <w:docPartUnique/>
          </w:docPartObj>
        </w:sdtPr>
        <w:sdtEndPr/>
        <w:sdtContent>
          <w:p w:rsidR="00697F02" w:rsidRDefault="0054679E" w:rsidP="00542E3F">
            <w:pPr>
              <w:pStyle w:val="Pieddepag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7A7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7A7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B2" w:rsidRDefault="00005EB2" w:rsidP="00016B62">
      <w:pPr>
        <w:spacing w:after="0" w:line="240" w:lineRule="auto"/>
      </w:pPr>
      <w:r>
        <w:separator/>
      </w:r>
    </w:p>
  </w:footnote>
  <w:footnote w:type="continuationSeparator" w:id="0">
    <w:p w:rsidR="00005EB2" w:rsidRDefault="00005EB2" w:rsidP="00016B62">
      <w:pPr>
        <w:spacing w:after="0" w:line="240" w:lineRule="auto"/>
      </w:pPr>
      <w:r>
        <w:continuationSeparator/>
      </w:r>
    </w:p>
  </w:footnote>
  <w:footnote w:id="1">
    <w:p w:rsidR="0093750B" w:rsidRPr="0093750B" w:rsidRDefault="0093750B" w:rsidP="0093750B">
      <w:pPr>
        <w:pStyle w:val="Notedebasdepage"/>
        <w:rPr>
          <w:rFonts w:ascii="Cambria" w:hAnsi="Cambria"/>
          <w:lang w:val="en-US" w:bidi="ar-MA"/>
        </w:rPr>
      </w:pPr>
      <w:r w:rsidRPr="0093750B">
        <w:rPr>
          <w:rStyle w:val="Appelnotedebasdep"/>
          <w:rFonts w:ascii="Cambria" w:hAnsi="Cambria"/>
        </w:rPr>
        <w:footnoteRef/>
      </w:r>
      <w:r w:rsidRPr="0093750B">
        <w:rPr>
          <w:rFonts w:ascii="Cambria" w:hAnsi="Cambria"/>
          <w:lang w:val="en-US"/>
        </w:rPr>
        <w:t xml:space="preserve"> </w:t>
      </w:r>
      <w:r w:rsidRPr="0093750B">
        <w:rPr>
          <w:rFonts w:ascii="Cambria" w:hAnsi="Cambria"/>
          <w:b/>
          <w:bCs/>
          <w:lang w:val="en-US" w:bidi="ar-MA"/>
        </w:rPr>
        <w:t>NMIRFs :</w:t>
      </w:r>
      <w:r w:rsidRPr="0093750B">
        <w:rPr>
          <w:rFonts w:ascii="Cambria" w:hAnsi="Cambria"/>
          <w:lang w:val="en-US" w:bidi="ar-MA"/>
        </w:rPr>
        <w:t xml:space="preserve"> National Mechanisms for Implementation, Reporting, and Follow-up</w:t>
      </w:r>
    </w:p>
  </w:footnote>
  <w:footnote w:id="2">
    <w:p w:rsidR="00721AFF" w:rsidRPr="00721AFF" w:rsidRDefault="00721AFF" w:rsidP="00721AFF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MA"/>
        </w:rPr>
      </w:pPr>
      <w:r w:rsidRPr="00721AFF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721AFF">
        <w:rPr>
          <w:rFonts w:ascii="Sakkal Majalla" w:hAnsi="Sakkal Majalla" w:cs="Sakkal Majalla"/>
          <w:sz w:val="24"/>
          <w:szCs w:val="24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تضم</w:t>
      </w:r>
      <w:r w:rsidRPr="00721AFF">
        <w:rPr>
          <w:rFonts w:ascii="Sakkal Majalla" w:hAnsi="Sakkal Majalla" w:cs="Sakkal Majalla"/>
          <w:sz w:val="24"/>
          <w:szCs w:val="24"/>
          <w:rtl/>
        </w:rPr>
        <w:t xml:space="preserve"> اللجنة التنفيذية للشبكة حالياً الآليات الوطنية للتنفيذ وإعداد التقارير والتتبع لكل من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المملكة</w:t>
      </w:r>
      <w:r w:rsidRPr="00721AFF">
        <w:rPr>
          <w:rFonts w:ascii="Sakkal Majalla" w:hAnsi="Sakkal Majalla" w:cs="Sakkal Majalla"/>
          <w:sz w:val="24"/>
          <w:szCs w:val="24"/>
          <w:rtl/>
        </w:rPr>
        <w:t xml:space="preserve"> المغرب</w:t>
      </w:r>
      <w:r>
        <w:rPr>
          <w:rFonts w:ascii="Sakkal Majalla" w:hAnsi="Sakkal Majalla" w:cs="Sakkal Majalla" w:hint="cs"/>
          <w:sz w:val="24"/>
          <w:szCs w:val="24"/>
          <w:rtl/>
        </w:rPr>
        <w:t>ية</w:t>
      </w:r>
      <w:r w:rsidRPr="00721AFF">
        <w:rPr>
          <w:rFonts w:ascii="Sakkal Majalla" w:hAnsi="Sakkal Majalla" w:cs="Sakkal Majalla"/>
          <w:sz w:val="24"/>
          <w:szCs w:val="24"/>
          <w:rtl/>
        </w:rPr>
        <w:t xml:space="preserve"> و</w:t>
      </w:r>
      <w:r>
        <w:rPr>
          <w:rFonts w:ascii="Sakkal Majalla" w:hAnsi="Sakkal Majalla" w:cs="Sakkal Majalla" w:hint="cs"/>
          <w:sz w:val="24"/>
          <w:szCs w:val="24"/>
          <w:rtl/>
        </w:rPr>
        <w:t>ال</w:t>
      </w:r>
      <w:r w:rsidRPr="00721AFF">
        <w:rPr>
          <w:rFonts w:ascii="Sakkal Majalla" w:hAnsi="Sakkal Majalla" w:cs="Sakkal Majalla"/>
          <w:sz w:val="24"/>
          <w:szCs w:val="24"/>
          <w:rtl/>
        </w:rPr>
        <w:t>باراغواي والبرتغال</w:t>
      </w:r>
      <w:r w:rsidRPr="00721AFF">
        <w:rPr>
          <w:rFonts w:ascii="Sakkal Majalla" w:hAnsi="Sakkal Majalla" w:cs="Sakkal Majalla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F02" w:rsidRDefault="0054679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A2DA87" wp14:editId="1CA669F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38100" t="1123950" r="0" b="6883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23E" w:rsidRDefault="0054679E" w:rsidP="007102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 R  A  F 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2DA8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399.7pt;height:239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71023E" w:rsidRDefault="0054679E" w:rsidP="007102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 R  A  F 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70"/>
      <w:gridCol w:w="1978"/>
      <w:gridCol w:w="2410"/>
      <w:gridCol w:w="2268"/>
    </w:tblGrid>
    <w:tr w:rsidR="00C84095" w:rsidTr="00685D25">
      <w:trPr>
        <w:trHeight w:val="1404"/>
        <w:jc w:val="center"/>
      </w:trPr>
      <w:tc>
        <w:tcPr>
          <w:tcW w:w="2270" w:type="dxa"/>
          <w:vAlign w:val="center"/>
        </w:tcPr>
        <w:p w:rsidR="00C84095" w:rsidRDefault="00C84095" w:rsidP="00C84095">
          <w:pPr>
            <w:jc w:val="center"/>
            <w:rPr>
              <w:rFonts w:ascii="Century Gothic" w:hAnsi="Century Gothic"/>
              <w:b/>
              <w:bCs/>
              <w:lang w:val="en-US"/>
            </w:rPr>
          </w:pPr>
          <w:r w:rsidRPr="004C2BAC">
            <w:rPr>
              <w:rFonts w:ascii="Century Gothic" w:hAnsi="Century Gothic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74624" behindDoc="0" locked="0" layoutInCell="1" allowOverlap="1" wp14:anchorId="7F1BF7FD" wp14:editId="6F059D1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41120" cy="822960"/>
                <wp:effectExtent l="0" t="0" r="0" b="0"/>
                <wp:wrapNone/>
                <wp:docPr id="1607521345" name="Image 1607521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12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8" w:type="dxa"/>
          <w:vAlign w:val="center"/>
        </w:tcPr>
        <w:p w:rsidR="00C84095" w:rsidRDefault="00C84095" w:rsidP="00C84095">
          <w:pPr>
            <w:rPr>
              <w:rFonts w:ascii="Century Gothic" w:hAnsi="Century Gothic"/>
              <w:b/>
              <w:bCs/>
              <w:lang w:val="en-US"/>
            </w:rPr>
          </w:pPr>
          <w:r w:rsidRPr="004C2BAC">
            <w:rPr>
              <w:noProof/>
              <w:sz w:val="28"/>
              <w:szCs w:val="28"/>
              <w:lang w:eastAsia="fr-FR"/>
            </w:rPr>
            <w:drawing>
              <wp:anchor distT="0" distB="0" distL="114300" distR="114300" simplePos="0" relativeHeight="251675648" behindDoc="0" locked="0" layoutInCell="1" allowOverlap="1" wp14:anchorId="4568890B" wp14:editId="565E576B">
                <wp:simplePos x="0" y="0"/>
                <wp:positionH relativeFrom="margin">
                  <wp:align>center</wp:align>
                </wp:positionH>
                <wp:positionV relativeFrom="margin">
                  <wp:posOffset>41275</wp:posOffset>
                </wp:positionV>
                <wp:extent cx="1074420" cy="849630"/>
                <wp:effectExtent l="0" t="0" r="0" b="7620"/>
                <wp:wrapNone/>
                <wp:docPr id="1607521346" name="Picture 1" descr="A logo with lions and a sta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521298" name="Picture 1" descr="A logo with lions and a star&#10;&#10;Description automatically generated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6" t="15333" r="6666" b="16001"/>
                        <a:stretch/>
                      </pic:blipFill>
                      <pic:spPr bwMode="auto">
                        <a:xfrm>
                          <a:off x="0" y="0"/>
                          <a:ext cx="1074420" cy="849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vAlign w:val="center"/>
        </w:tcPr>
        <w:p w:rsidR="00C84095" w:rsidRDefault="00C84095" w:rsidP="00C84095">
          <w:pPr>
            <w:jc w:val="center"/>
            <w:rPr>
              <w:rFonts w:ascii="Century Gothic" w:hAnsi="Century Gothic"/>
              <w:b/>
              <w:bCs/>
              <w:lang w:val="en-US"/>
            </w:rPr>
          </w:pPr>
          <w:r w:rsidRPr="00610DD2">
            <w:rPr>
              <w:rFonts w:ascii="Century Gothic" w:hAnsi="Century Gothic"/>
              <w:noProof/>
              <w:sz w:val="16"/>
              <w:szCs w:val="16"/>
              <w:lang w:eastAsia="fr-FR"/>
            </w:rPr>
            <w:drawing>
              <wp:anchor distT="0" distB="0" distL="114300" distR="114300" simplePos="0" relativeHeight="251677696" behindDoc="0" locked="0" layoutInCell="1" allowOverlap="1" wp14:anchorId="7C4C7756" wp14:editId="1C8B2BC9">
                <wp:simplePos x="3708400" y="34713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491920" cy="61200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92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vAlign w:val="center"/>
        </w:tcPr>
        <w:p w:rsidR="00C84095" w:rsidRDefault="00C84095" w:rsidP="00C84095">
          <w:pPr>
            <w:rPr>
              <w:rFonts w:ascii="Century Gothic" w:hAnsi="Century Gothic"/>
              <w:b/>
              <w:bCs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76672" behindDoc="0" locked="0" layoutInCell="1" allowOverlap="1" wp14:anchorId="221B7625" wp14:editId="12901ECB">
                <wp:simplePos x="5240867" y="44873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49676" cy="360000"/>
                <wp:effectExtent l="0" t="0" r="3175" b="2540"/>
                <wp:wrapNone/>
                <wp:docPr id="2" name="Image 2" descr="P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67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84095" w:rsidTr="00685D25">
      <w:trPr>
        <w:jc w:val="center"/>
      </w:trPr>
      <w:tc>
        <w:tcPr>
          <w:tcW w:w="4248" w:type="dxa"/>
          <w:gridSpan w:val="2"/>
          <w:vAlign w:val="center"/>
        </w:tcPr>
        <w:p w:rsidR="00C84095" w:rsidRDefault="00C84095" w:rsidP="00C84095">
          <w:pPr>
            <w:jc w:val="center"/>
            <w:rPr>
              <w:rFonts w:ascii="Century Gothic" w:hAnsi="Century Gothic"/>
              <w:b/>
              <w:bCs/>
              <w:lang w:val="en-US"/>
            </w:rPr>
          </w:pPr>
          <w:r w:rsidRPr="004C2BAC">
            <w:rPr>
              <w:rFonts w:ascii="Century Gothic" w:hAnsi="Century Gothic"/>
              <w:b/>
              <w:bCs/>
              <w:noProof/>
              <w:sz w:val="32"/>
              <w:szCs w:val="32"/>
              <w:lang w:eastAsia="fr-FR"/>
            </w:rPr>
            <w:drawing>
              <wp:anchor distT="0" distB="0" distL="114300" distR="114300" simplePos="0" relativeHeight="251673600" behindDoc="0" locked="0" layoutInCell="1" allowOverlap="1" wp14:anchorId="3DFA11CF" wp14:editId="3D8A17A7">
                <wp:simplePos x="0" y="0"/>
                <wp:positionH relativeFrom="margin">
                  <wp:posOffset>250825</wp:posOffset>
                </wp:positionH>
                <wp:positionV relativeFrom="margin">
                  <wp:posOffset>-41910</wp:posOffset>
                </wp:positionV>
                <wp:extent cx="1455420" cy="536575"/>
                <wp:effectExtent l="0" t="0" r="0" b="0"/>
                <wp:wrapSquare wrapText="bothSides"/>
                <wp:docPr id="1607521347" name="Image 1607521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420" cy="53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gridSpan w:val="2"/>
          <w:vAlign w:val="center"/>
        </w:tcPr>
        <w:p w:rsidR="00C84095" w:rsidRDefault="00C84095" w:rsidP="00C84095">
          <w:pPr>
            <w:jc w:val="center"/>
            <w:rPr>
              <w:rFonts w:ascii="Century Gothic" w:hAnsi="Century Gothic"/>
              <w:b/>
              <w:bCs/>
              <w:lang w:val="en-US"/>
            </w:rPr>
          </w:pPr>
          <w:r w:rsidRPr="004C2BAC">
            <w:rPr>
              <w:noProof/>
              <w:sz w:val="28"/>
              <w:szCs w:val="28"/>
              <w:lang w:eastAsia="fr-FR"/>
            </w:rPr>
            <w:drawing>
              <wp:anchor distT="0" distB="0" distL="0" distR="0" simplePos="0" relativeHeight="251672576" behindDoc="0" locked="0" layoutInCell="1" allowOverlap="1" wp14:anchorId="75BA3942" wp14:editId="04337FC8">
                <wp:simplePos x="0" y="0"/>
                <wp:positionH relativeFrom="margin">
                  <wp:posOffset>878840</wp:posOffset>
                </wp:positionH>
                <wp:positionV relativeFrom="margin">
                  <wp:posOffset>29210</wp:posOffset>
                </wp:positionV>
                <wp:extent cx="1690370" cy="179705"/>
                <wp:effectExtent l="0" t="0" r="5080" b="0"/>
                <wp:wrapSquare wrapText="bothSides"/>
                <wp:docPr id="160752134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97F02" w:rsidRPr="002C6C80" w:rsidRDefault="0054679E" w:rsidP="00E72435">
    <w:pPr>
      <w:spacing w:after="120" w:line="276" w:lineRule="auto"/>
      <w:rPr>
        <w:rFonts w:ascii="Century Gothic" w:hAnsi="Century Gothic"/>
        <w:sz w:val="12"/>
        <w:szCs w:val="12"/>
        <w:lang w:val="en-US"/>
      </w:rPr>
    </w:pPr>
    <w:r w:rsidRPr="004C2BAC">
      <w:rPr>
        <w:rFonts w:ascii="Century Gothic" w:hAnsi="Century Gothic"/>
        <w:sz w:val="16"/>
        <w:szCs w:val="16"/>
        <w:lang w:val="en-US"/>
      </w:rPr>
      <w:t xml:space="preserve">               </w:t>
    </w:r>
    <w:r>
      <w:rPr>
        <w:rFonts w:ascii="Century Gothic" w:hAnsi="Century Gothic"/>
        <w:sz w:val="16"/>
        <w:szCs w:val="16"/>
        <w:lang w:val="en-US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26"/>
    <w:multiLevelType w:val="multilevel"/>
    <w:tmpl w:val="748EE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65BD"/>
    <w:multiLevelType w:val="hybridMultilevel"/>
    <w:tmpl w:val="BBDEA32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E7BBA"/>
    <w:multiLevelType w:val="hybridMultilevel"/>
    <w:tmpl w:val="3022E886"/>
    <w:lvl w:ilvl="0" w:tplc="1E3060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6F63"/>
    <w:multiLevelType w:val="multilevel"/>
    <w:tmpl w:val="D3A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81AC8"/>
    <w:multiLevelType w:val="multilevel"/>
    <w:tmpl w:val="335E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72B5F"/>
    <w:multiLevelType w:val="hybridMultilevel"/>
    <w:tmpl w:val="E3167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708F"/>
    <w:multiLevelType w:val="multilevel"/>
    <w:tmpl w:val="FB9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50639"/>
    <w:multiLevelType w:val="multilevel"/>
    <w:tmpl w:val="CC16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9E"/>
    <w:rsid w:val="00005EB2"/>
    <w:rsid w:val="00016B62"/>
    <w:rsid w:val="000543FB"/>
    <w:rsid w:val="000F7EC6"/>
    <w:rsid w:val="001D5276"/>
    <w:rsid w:val="00241A46"/>
    <w:rsid w:val="002E4268"/>
    <w:rsid w:val="003F735D"/>
    <w:rsid w:val="0054679E"/>
    <w:rsid w:val="0061350B"/>
    <w:rsid w:val="00657A17"/>
    <w:rsid w:val="00685D25"/>
    <w:rsid w:val="00687120"/>
    <w:rsid w:val="00721AFF"/>
    <w:rsid w:val="00734F43"/>
    <w:rsid w:val="00770917"/>
    <w:rsid w:val="00787C53"/>
    <w:rsid w:val="007B57FA"/>
    <w:rsid w:val="008705C5"/>
    <w:rsid w:val="00936A49"/>
    <w:rsid w:val="0093750B"/>
    <w:rsid w:val="009C352F"/>
    <w:rsid w:val="00A16247"/>
    <w:rsid w:val="00A32FE1"/>
    <w:rsid w:val="00B01C59"/>
    <w:rsid w:val="00BF360D"/>
    <w:rsid w:val="00C25FD6"/>
    <w:rsid w:val="00C84095"/>
    <w:rsid w:val="00CA27A7"/>
    <w:rsid w:val="00D5299E"/>
    <w:rsid w:val="00E72435"/>
    <w:rsid w:val="00E936BB"/>
    <w:rsid w:val="00EA7092"/>
    <w:rsid w:val="00EE6C3D"/>
    <w:rsid w:val="00E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050F3B-3CAD-4711-9AA6-811F7A7A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99E"/>
  </w:style>
  <w:style w:type="paragraph" w:styleId="Titre3">
    <w:name w:val="heading 3"/>
    <w:basedOn w:val="Normal"/>
    <w:link w:val="Titre3Car"/>
    <w:uiPriority w:val="9"/>
    <w:qFormat/>
    <w:rsid w:val="00BF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BF3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99E"/>
  </w:style>
  <w:style w:type="paragraph" w:styleId="Pieddepage">
    <w:name w:val="footer"/>
    <w:basedOn w:val="Normal"/>
    <w:link w:val="PieddepageCar"/>
    <w:uiPriority w:val="99"/>
    <w:unhideWhenUsed/>
    <w:rsid w:val="00D5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99E"/>
  </w:style>
  <w:style w:type="table" w:styleId="Grilledutableau">
    <w:name w:val="Table Grid"/>
    <w:basedOn w:val="TableauNormal"/>
    <w:uiPriority w:val="39"/>
    <w:rsid w:val="00D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29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16B6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3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3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735D"/>
    <w:rPr>
      <w:vertAlign w:val="superscript"/>
    </w:rPr>
  </w:style>
  <w:style w:type="character" w:styleId="lev">
    <w:name w:val="Strong"/>
    <w:basedOn w:val="Policepardfaut"/>
    <w:uiPriority w:val="22"/>
    <w:qFormat/>
    <w:rsid w:val="00EA709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F360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F360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cid:6088CC4E-4E01-46A1-9158-8E2A479CEBF2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7F4C-5C05-4581-9172-DEFF5B50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Moujahid Abaddi</dc:creator>
  <cp:keywords/>
  <dc:description/>
  <cp:lastModifiedBy>Nadia El Boukili</cp:lastModifiedBy>
  <cp:revision>4</cp:revision>
  <cp:lastPrinted>2025-02-19T14:09:00Z</cp:lastPrinted>
  <dcterms:created xsi:type="dcterms:W3CDTF">2025-12-04T09:35:00Z</dcterms:created>
  <dcterms:modified xsi:type="dcterms:W3CDTF">2026-01-30T09:51:00Z</dcterms:modified>
</cp:coreProperties>
</file>